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80" w:rsidRPr="00406080" w:rsidRDefault="00406080" w:rsidP="00406080">
      <w:pPr>
        <w:widowControl/>
        <w:spacing w:line="408" w:lineRule="atLeast"/>
        <w:jc w:val="center"/>
        <w:rPr>
          <w:rFonts w:ascii="微软雅黑" w:eastAsia="微软雅黑" w:hAnsi="微软雅黑" w:cs="宋体"/>
          <w:b/>
          <w:bCs/>
          <w:color w:val="000000"/>
          <w:kern w:val="0"/>
          <w:sz w:val="33"/>
          <w:szCs w:val="33"/>
        </w:rPr>
      </w:pPr>
      <w:r w:rsidRPr="00406080">
        <w:rPr>
          <w:rFonts w:ascii="微软雅黑" w:eastAsia="微软雅黑" w:hAnsi="微软雅黑" w:cs="宋体" w:hint="eastAsia"/>
          <w:b/>
          <w:bCs/>
          <w:color w:val="000000"/>
          <w:kern w:val="0"/>
          <w:sz w:val="33"/>
          <w:szCs w:val="33"/>
        </w:rPr>
        <w:t>广西壮族自治区政府采购中心关于广西工业职业技术学院武鸣校区物业服务采购（GXZC2023-G3-002767-CGZX ）的更正公告</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来源：广西壮族自治区政府采购中心</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 </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 </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发布时间：2023-09-06</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 </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浏览次数：300</w:t>
      </w:r>
    </w:p>
    <w:p w:rsidR="00406080" w:rsidRPr="00406080" w:rsidRDefault="00406080" w:rsidP="00406080">
      <w:pPr>
        <w:widowControl/>
        <w:spacing w:before="231" w:after="231" w:line="408" w:lineRule="atLeas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b/>
          <w:bCs/>
          <w:color w:val="000000"/>
          <w:kern w:val="0"/>
          <w:sz w:val="25"/>
        </w:rPr>
        <w:t>一、项目基本情况</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原公告的采购项目编号：</w:t>
      </w:r>
      <w:r w:rsidRPr="00406080">
        <w:rPr>
          <w:rFonts w:ascii="微软雅黑" w:eastAsia="微软雅黑" w:hAnsi="微软雅黑" w:cs="宋体" w:hint="eastAsia"/>
          <w:color w:val="000000"/>
          <w:kern w:val="0"/>
          <w:sz w:val="25"/>
        </w:rPr>
        <w:t>GXZC2023-G3-002767-CGZX</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原公告的采购项目名称：</w:t>
      </w:r>
      <w:r w:rsidRPr="00406080">
        <w:rPr>
          <w:rFonts w:ascii="微软雅黑" w:eastAsia="微软雅黑" w:hAnsi="微软雅黑" w:cs="宋体" w:hint="eastAsia"/>
          <w:color w:val="000000"/>
          <w:kern w:val="0"/>
          <w:sz w:val="25"/>
        </w:rPr>
        <w:t>广西工业职业技术学院武鸣校区物业服务采购</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首次公告日期：</w:t>
      </w:r>
      <w:r w:rsidRPr="00406080">
        <w:rPr>
          <w:rFonts w:ascii="微软雅黑" w:eastAsia="微软雅黑" w:hAnsi="微软雅黑" w:cs="宋体" w:hint="eastAsia"/>
          <w:color w:val="000000"/>
          <w:kern w:val="0"/>
          <w:sz w:val="25"/>
        </w:rPr>
        <w:t>2023年08月18日</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231" w:after="231" w:line="408" w:lineRule="atLeas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b/>
          <w:bCs/>
          <w:color w:val="000000"/>
          <w:kern w:val="0"/>
          <w:sz w:val="25"/>
        </w:rPr>
        <w:t>二、更正信息</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更正事项：</w:t>
      </w:r>
      <w:r w:rsidRPr="00406080">
        <w:rPr>
          <w:rFonts w:ascii="微软雅黑" w:eastAsia="微软雅黑" w:hAnsi="微软雅黑" w:cs="宋体" w:hint="eastAsia"/>
          <w:color w:val="000000"/>
          <w:kern w:val="0"/>
          <w:sz w:val="25"/>
        </w:rPr>
        <w:t>采购文件</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更正内容：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rPr>
        <w:t>       </w:t>
      </w:r>
    </w:p>
    <w:tbl>
      <w:tblPr>
        <w:tblW w:w="5000" w:type="pct"/>
        <w:tblCellMar>
          <w:top w:w="15" w:type="dxa"/>
          <w:left w:w="15" w:type="dxa"/>
          <w:bottom w:w="15" w:type="dxa"/>
          <w:right w:w="15" w:type="dxa"/>
        </w:tblCellMar>
        <w:tblLook w:val="04A0"/>
      </w:tblPr>
      <w:tblGrid>
        <w:gridCol w:w="2144"/>
        <w:gridCol w:w="2144"/>
        <w:gridCol w:w="2145"/>
        <w:gridCol w:w="2145"/>
      </w:tblGrid>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序号</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更正后内容</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第二章 招标项目采购需求“第二部分 服务人员及薪资福利待遇要求”中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（5）秩序维护主管，年龄45岁以下，具有消防设施操作员证及五年或以上工作经验。</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（5）秩序维护主管，年龄45岁以下，具有五年或以上工作经验。秩序维护组中有2名或2名以上具有消防设施操作员证。</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2</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（1）总体工作计划、管理规章制度及方案分（满分6分）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一档（2分）：总体计划方案基本满足采购需求，无针对性；未为本项目建立有相关的规章管理制度，或者提供的内容不全面，没有操作性。</w:t>
            </w:r>
            <w:r w:rsidRPr="00406080">
              <w:rPr>
                <w:rFonts w:ascii="宋体" w:eastAsia="宋体" w:hAnsi="宋体" w:cs="宋体"/>
                <w:kern w:val="0"/>
                <w:sz w:val="24"/>
                <w:szCs w:val="24"/>
              </w:rPr>
              <w:br/>
              <w:t>二档（4分）：总体计划方案适用本项目用户需求，管理规章制度架构完整，有针对性，机构设置合理、运作比较流畅、管理方式比较科学；</w:t>
            </w:r>
            <w:r w:rsidRPr="00406080">
              <w:rPr>
                <w:rFonts w:ascii="宋体" w:eastAsia="宋体" w:hAnsi="宋体" w:cs="宋体"/>
                <w:kern w:val="0"/>
                <w:sz w:val="24"/>
                <w:szCs w:val="24"/>
              </w:rPr>
              <w:br/>
              <w:t>三档（6分）：总体计划方案、规章管理制度与档案管理制度详细、完善，机构设置合理、运作流畅、管理方式科学，有良好的内部管理构架、管理运作机制、激励机制、监督机制、自我约束</w:t>
            </w:r>
            <w:r w:rsidRPr="00406080">
              <w:rPr>
                <w:rFonts w:ascii="宋体" w:eastAsia="宋体" w:hAnsi="宋体" w:cs="宋体"/>
                <w:kern w:val="0"/>
                <w:sz w:val="24"/>
                <w:szCs w:val="24"/>
              </w:rPr>
              <w:lastRenderedPageBreak/>
              <w:t>机制、信息反馈处理机制，标准体系结构合理。</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（1）总体工作计划、管理规章制度及方案分（满分6分）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一档（2分）：总体计划方案基本满足采购需求，无针对性；未为本项目建立有相关的规章管理制度，或者提供的内容不全面，没有操作性。</w:t>
            </w:r>
            <w:r w:rsidRPr="00406080">
              <w:rPr>
                <w:rFonts w:ascii="宋体" w:eastAsia="宋体" w:hAnsi="宋体" w:cs="宋体"/>
                <w:kern w:val="0"/>
                <w:sz w:val="24"/>
                <w:szCs w:val="24"/>
              </w:rPr>
              <w:br/>
              <w:t>二档（4分）：总体计划方案适用本项目用户需求，管理规章制度架构完整，有针对性，机构设置合理、管理方式比较科学；</w:t>
            </w:r>
            <w:r w:rsidRPr="00406080">
              <w:rPr>
                <w:rFonts w:ascii="宋体" w:eastAsia="宋体" w:hAnsi="宋体" w:cs="宋体"/>
                <w:kern w:val="0"/>
                <w:sz w:val="24"/>
                <w:szCs w:val="24"/>
              </w:rPr>
              <w:br/>
              <w:t>三档（6分）：总体计划方案、规章管理制度与档案管理制度详细、完善，机构设置合理、管理方式科学，有良好的内部管理构架、管理运作机制、激励机制、监督机制、自我约束机制、信息反馈处理机制，标</w:t>
            </w:r>
            <w:r w:rsidRPr="00406080">
              <w:rPr>
                <w:rFonts w:ascii="宋体" w:eastAsia="宋体" w:hAnsi="宋体" w:cs="宋体"/>
                <w:kern w:val="0"/>
                <w:sz w:val="24"/>
                <w:szCs w:val="24"/>
              </w:rPr>
              <w:lastRenderedPageBreak/>
              <w:t>准体系结构合理。</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3</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（2）机构设立、运作流程及管理方式分（满分5分）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一档（1分）：机构设置不合理、运作不流畅、管理方式不科学,或者提供的内容不全面，没有操作性。</w:t>
            </w:r>
            <w:r w:rsidRPr="00406080">
              <w:rPr>
                <w:rFonts w:ascii="宋体" w:eastAsia="宋体" w:hAnsi="宋体" w:cs="宋体"/>
                <w:kern w:val="0"/>
                <w:sz w:val="24"/>
                <w:szCs w:val="24"/>
              </w:rPr>
              <w:br/>
              <w:t>二档（3分）：机构设置合理、运作流畅、管理方式科学；</w:t>
            </w:r>
            <w:r w:rsidRPr="00406080">
              <w:rPr>
                <w:rFonts w:ascii="宋体" w:eastAsia="宋体" w:hAnsi="宋体" w:cs="宋体"/>
                <w:kern w:val="0"/>
                <w:sz w:val="24"/>
                <w:szCs w:val="24"/>
              </w:rPr>
              <w:br/>
              <w:t>三档（5分）：机构设置合理、运作流畅、管理方式科学，有良好的内部管理构架、管理运作机制、激励机制、监督机制、自我约束机制、信息反馈处理机制，投标人建立的标准体系结构合理，标准化工作良好。</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（2）机构设立、运作流程及管理方式分（满分5分）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一档（1分）：机构设置不合理、运作流程不规范、管理方式不科学,或者提供的内容不全面，没有操作性。</w:t>
            </w:r>
            <w:r w:rsidRPr="00406080">
              <w:rPr>
                <w:rFonts w:ascii="宋体" w:eastAsia="宋体" w:hAnsi="宋体" w:cs="宋体"/>
                <w:kern w:val="0"/>
                <w:sz w:val="24"/>
                <w:szCs w:val="24"/>
              </w:rPr>
              <w:br/>
              <w:t>二档（3分）：机构设置合理、运作流程不规范、管理方式科学；</w:t>
            </w:r>
            <w:r w:rsidRPr="00406080">
              <w:rPr>
                <w:rFonts w:ascii="宋体" w:eastAsia="宋体" w:hAnsi="宋体" w:cs="宋体"/>
                <w:kern w:val="0"/>
                <w:sz w:val="24"/>
                <w:szCs w:val="24"/>
              </w:rPr>
              <w:br/>
              <w:t>三档（5分）：机构设置合理、运作流程规范、运作管理程序合理、管理方式科学，有良好的内部管理构架、管理运作机制、激励机制、监督机制、自我约束机制、信息反馈处理机制，投标人建立的标准体系结构合理，标准化工作良好。</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4</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（3）安保管理服务方案分（满分5分）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w:t>
            </w:r>
            <w:r w:rsidRPr="00406080">
              <w:rPr>
                <w:rFonts w:ascii="宋体" w:eastAsia="宋体" w:hAnsi="宋体" w:cs="宋体"/>
                <w:kern w:val="0"/>
                <w:sz w:val="24"/>
                <w:szCs w:val="24"/>
              </w:rPr>
              <w:lastRenderedPageBreak/>
              <w:t>案适用本项目采购需求，内容科学合理，有详细工作计划；</w:t>
            </w:r>
            <w:r w:rsidRPr="00406080">
              <w:rPr>
                <w:rFonts w:ascii="宋体" w:eastAsia="宋体" w:hAnsi="宋体" w:cs="宋体"/>
                <w:kern w:val="0"/>
                <w:sz w:val="24"/>
                <w:szCs w:val="24"/>
              </w:rPr>
              <w:br/>
              <w:t>三档（5分）：方案存在较多优于本项目采购需求，方案内容完整详细，工作计划科学合理、有针对性。</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（3）安保管理服务方案分（满分5分）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w:t>
            </w:r>
            <w:r w:rsidRPr="00406080">
              <w:rPr>
                <w:rFonts w:ascii="宋体" w:eastAsia="宋体" w:hAnsi="宋体" w:cs="宋体"/>
                <w:kern w:val="0"/>
                <w:sz w:val="24"/>
                <w:szCs w:val="24"/>
              </w:rPr>
              <w:lastRenderedPageBreak/>
              <w:t>案适用本项目采购需求，内容科学合理，有详细工作计划；</w:t>
            </w:r>
            <w:r w:rsidRPr="00406080">
              <w:rPr>
                <w:rFonts w:ascii="宋体" w:eastAsia="宋体" w:hAnsi="宋体" w:cs="宋体"/>
                <w:kern w:val="0"/>
                <w:sz w:val="24"/>
                <w:szCs w:val="24"/>
              </w:rPr>
              <w:br/>
              <w:t>三档（5分）：方案存在优于本项目采购需求，方案内容完整详细，能针对学校环境作出针对性的安保巡逻计划、消防巡逻计划、监控室管理计划、群体事件应急处理计划、教室管理方案、学生公寓管理方案等，相关计划及方案符合项目具体特点，工作计划科学合理、有针对性。</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5</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（4）保洁服务方案分（满分5分）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二档（3分）：方案适用本项目采购需求，内容科学合理，有详细工作计划；</w:t>
            </w:r>
            <w:r w:rsidRPr="00406080">
              <w:rPr>
                <w:rFonts w:ascii="宋体" w:eastAsia="宋体" w:hAnsi="宋体" w:cs="宋体"/>
                <w:kern w:val="0"/>
                <w:sz w:val="24"/>
                <w:szCs w:val="24"/>
              </w:rPr>
              <w:br/>
              <w:t>三档（5分）：方案存在较多优于本项目采购需求，方案内容完整详细，工作计划科学合理、有针对性。</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（4）保洁服务方案分（满分5分）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二档（3分）：方案适用本项目采购需求，内容科学合理，有详细工作计划；</w:t>
            </w:r>
            <w:r w:rsidRPr="00406080">
              <w:rPr>
                <w:rFonts w:ascii="宋体" w:eastAsia="宋体" w:hAnsi="宋体" w:cs="宋体"/>
                <w:kern w:val="0"/>
                <w:sz w:val="24"/>
                <w:szCs w:val="24"/>
              </w:rPr>
              <w:br/>
              <w:t>三档（5分）：方案存在优于本项目采购需求，能针对《校园保洁服务工作要求与服务质量检查考核办法》制定具体的工作方案及措施，提高物业服务质量，重大活动保洁服</w:t>
            </w:r>
            <w:r w:rsidRPr="00406080">
              <w:rPr>
                <w:rFonts w:ascii="宋体" w:eastAsia="宋体" w:hAnsi="宋体" w:cs="宋体"/>
                <w:kern w:val="0"/>
                <w:sz w:val="24"/>
                <w:szCs w:val="24"/>
              </w:rPr>
              <w:lastRenderedPageBreak/>
              <w:t>务方案符合项目特点，工作计划科学合理、有针对性。</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6</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（5）水电维修服务方案分（满分5分）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二档（3分）：方案适用本项目采购需求，内容科学合理，有详细的水电维修、电梯维修工作计划；</w:t>
            </w:r>
            <w:r w:rsidRPr="00406080">
              <w:rPr>
                <w:rFonts w:ascii="宋体" w:eastAsia="宋体" w:hAnsi="宋体" w:cs="宋体"/>
                <w:kern w:val="0"/>
                <w:sz w:val="24"/>
                <w:szCs w:val="24"/>
              </w:rPr>
              <w:br/>
              <w:t>三档（5分）：方案存在较多优于本项目采购需求，方案内容完整详细，工作计划科学合理、有针对性。</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（5）水电维修服务方案分（满分5分）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二档（3分）：方案适用本项目采购需求，内容科学合理，有详细的水电维修、电梯维修工作计划；</w:t>
            </w:r>
            <w:r w:rsidRPr="00406080">
              <w:rPr>
                <w:rFonts w:ascii="宋体" w:eastAsia="宋体" w:hAnsi="宋体" w:cs="宋体"/>
                <w:kern w:val="0"/>
                <w:sz w:val="24"/>
                <w:szCs w:val="24"/>
              </w:rPr>
              <w:br/>
              <w:t>三档（5分）：在二档基础上，方案提供的响应时间迅速，人员安排充分可靠，耗材准备及时，具有详细可行的水电维修及电梯维护应急管理方案，操作流程安全规范，工作计划科学合理、有针对性。</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7</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（6）绿化养护服务方案分（满分5分）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二档（3分）：方案适用本项目采购需求，内容科学</w:t>
            </w:r>
            <w:r w:rsidRPr="00406080">
              <w:rPr>
                <w:rFonts w:ascii="宋体" w:eastAsia="宋体" w:hAnsi="宋体" w:cs="宋体"/>
                <w:kern w:val="0"/>
                <w:sz w:val="24"/>
                <w:szCs w:val="24"/>
              </w:rPr>
              <w:lastRenderedPageBreak/>
              <w:t>合理，有详细工作计划；</w:t>
            </w:r>
            <w:r w:rsidRPr="00406080">
              <w:rPr>
                <w:rFonts w:ascii="宋体" w:eastAsia="宋体" w:hAnsi="宋体" w:cs="宋体"/>
                <w:kern w:val="0"/>
                <w:sz w:val="24"/>
                <w:szCs w:val="24"/>
              </w:rPr>
              <w:br/>
              <w:t>三档（5分）：方案存在较多优于本项目采购需求，方案内容完整详细，工作计划科学合理、有针对性。</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（6）绿化养护服务方案分（满分5分）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二档（3分）：方案适用本项目采购需求，内容科学</w:t>
            </w:r>
            <w:r w:rsidRPr="00406080">
              <w:rPr>
                <w:rFonts w:ascii="宋体" w:eastAsia="宋体" w:hAnsi="宋体" w:cs="宋体"/>
                <w:kern w:val="0"/>
                <w:sz w:val="24"/>
                <w:szCs w:val="24"/>
              </w:rPr>
              <w:lastRenderedPageBreak/>
              <w:t>合理，有详细工作计划；</w:t>
            </w:r>
            <w:r w:rsidRPr="00406080">
              <w:rPr>
                <w:rFonts w:ascii="宋体" w:eastAsia="宋体" w:hAnsi="宋体" w:cs="宋体"/>
                <w:kern w:val="0"/>
                <w:sz w:val="24"/>
                <w:szCs w:val="24"/>
              </w:rPr>
              <w:br/>
              <w:t>三档（5分）：方案存在优于本项目采购需求，能针对《校园绿化质量标准与考核办法》制定具体的工作方案及措施，提高物业服务质量，重大活动绿化布置服务方案符合项目特点，工作计划科学合理、有针对性。</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8</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（7）学生公寓管理、教室管理方案分（满分5分）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二档（3分）：方案适用本项目采购需求，内容科学合理，有详细工作计划；</w:t>
            </w:r>
            <w:r w:rsidRPr="00406080">
              <w:rPr>
                <w:rFonts w:ascii="宋体" w:eastAsia="宋体" w:hAnsi="宋体" w:cs="宋体"/>
                <w:kern w:val="0"/>
                <w:sz w:val="24"/>
                <w:szCs w:val="24"/>
              </w:rPr>
              <w:br/>
              <w:t>三档（5分）：方案存在较多优于本项目采购需求，方案内容完整详细，工作计划科学合理、有针对性。</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（7）学生公寓管理、教室管理方案分（满分5分）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二档（3分）：方案适用本项目采购需求，内容科学合理，有详细工作计划；</w:t>
            </w:r>
            <w:r w:rsidRPr="00406080">
              <w:rPr>
                <w:rFonts w:ascii="宋体" w:eastAsia="宋体" w:hAnsi="宋体" w:cs="宋体"/>
                <w:kern w:val="0"/>
                <w:sz w:val="24"/>
                <w:szCs w:val="24"/>
              </w:rPr>
              <w:br/>
              <w:t>三档（5分）：方案存在优于本项目采购需求，能针对男女学生宿舍特点制定具体的差别化管理方案及措施，提高宿舍及教室管理水平，宿舍管理应急处置方案符合项目特点，工作计划科学合理、有针对性</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9</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w:t>
            </w:r>
            <w:r w:rsidRPr="00406080">
              <w:rPr>
                <w:rFonts w:ascii="宋体" w:eastAsia="宋体" w:hAnsi="宋体" w:cs="宋体"/>
                <w:kern w:val="0"/>
                <w:sz w:val="24"/>
                <w:szCs w:val="24"/>
              </w:rPr>
              <w:lastRenderedPageBreak/>
              <w:t>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（10）人员配置承诺分（满分6分）</w:t>
            </w:r>
            <w:r w:rsidRPr="00406080">
              <w:rPr>
                <w:rFonts w:ascii="宋体" w:eastAsia="宋体" w:hAnsi="宋体" w:cs="宋体"/>
                <w:kern w:val="0"/>
                <w:sz w:val="24"/>
                <w:szCs w:val="24"/>
              </w:rPr>
              <w:br/>
            </w:r>
            <w:r w:rsidRPr="00406080">
              <w:rPr>
                <w:rFonts w:ascii="宋体" w:eastAsia="宋体" w:hAnsi="宋体" w:cs="宋体"/>
                <w:kern w:val="0"/>
                <w:sz w:val="24"/>
                <w:szCs w:val="24"/>
              </w:rPr>
              <w:lastRenderedPageBreak/>
              <w:t>投标人在人员最低配置（135人）的基础上每增加一人加1分，满分6分。</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该项删除</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10</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（11）人员培训及管理方案分 （满分5分）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一档（1分）：方案有不适用本项目用户需求，无针对性；</w:t>
            </w:r>
            <w:r w:rsidRPr="00406080">
              <w:rPr>
                <w:rFonts w:ascii="宋体" w:eastAsia="宋体" w:hAnsi="宋体" w:cs="宋体"/>
                <w:kern w:val="0"/>
                <w:sz w:val="24"/>
                <w:szCs w:val="24"/>
              </w:rPr>
              <w:br/>
              <w:t>二档（3分）：方案适用本项目用户需求，方案架构完整合理，有针对性；</w:t>
            </w:r>
            <w:r w:rsidRPr="00406080">
              <w:rPr>
                <w:rFonts w:ascii="宋体" w:eastAsia="宋体" w:hAnsi="宋体" w:cs="宋体"/>
                <w:kern w:val="0"/>
                <w:sz w:val="24"/>
                <w:szCs w:val="24"/>
              </w:rPr>
              <w:br/>
              <w:t>三档（5分）：在二档基础上，方案涵盖年度培训大纲、培训的方式方法、培训效果评估、人员管理方式、控制员工流失的措施、人员招聘与录用、人员意外伤害应急处理、员工替岗管理制度等，方案完整详细，科学合理。</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（10）人员培训及管理方案分 （满分8分）</w:t>
            </w:r>
            <w:r w:rsidRPr="00406080">
              <w:rPr>
                <w:rFonts w:ascii="宋体" w:eastAsia="宋体" w:hAnsi="宋体" w:cs="宋体"/>
                <w:kern w:val="0"/>
                <w:sz w:val="24"/>
                <w:szCs w:val="24"/>
              </w:rPr>
              <w:br/>
              <w:t>不提供相关内容或方案得0分</w:t>
            </w:r>
            <w:r w:rsidRPr="00406080">
              <w:rPr>
                <w:rFonts w:ascii="宋体" w:eastAsia="宋体" w:hAnsi="宋体" w:cs="宋体"/>
                <w:kern w:val="0"/>
                <w:sz w:val="24"/>
                <w:szCs w:val="24"/>
              </w:rPr>
              <w:br/>
              <w:t>一档（2分）：方案有不适用本项目用户需求，无针对性；</w:t>
            </w:r>
            <w:r w:rsidRPr="00406080">
              <w:rPr>
                <w:rFonts w:ascii="宋体" w:eastAsia="宋体" w:hAnsi="宋体" w:cs="宋体"/>
                <w:kern w:val="0"/>
                <w:sz w:val="24"/>
                <w:szCs w:val="24"/>
              </w:rPr>
              <w:br/>
              <w:t>二档（5分）：方案适用本项目用户需求，方案架构完整合理，有针对性；</w:t>
            </w:r>
            <w:r w:rsidRPr="00406080">
              <w:rPr>
                <w:rFonts w:ascii="宋体" w:eastAsia="宋体" w:hAnsi="宋体" w:cs="宋体"/>
                <w:kern w:val="0"/>
                <w:sz w:val="24"/>
                <w:szCs w:val="24"/>
              </w:rPr>
              <w:br/>
              <w:t>三档（8分）：在二档基础上，方案涵盖年度培训大纲、培训的方式方法、培训效果评估、人员管理方式、控制员工流失的措施、人员招聘与录用、人员意外伤害应急处理、员工替岗管理制度等，方案完整详细，科学合理。</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11</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第四章 评标方法及评定标准 “2、技术分”中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（12）项目经费测算（满分3分）</w:t>
            </w:r>
            <w:r w:rsidRPr="00406080">
              <w:rPr>
                <w:rFonts w:ascii="宋体" w:eastAsia="宋体" w:hAnsi="宋体" w:cs="宋体"/>
                <w:kern w:val="0"/>
                <w:sz w:val="24"/>
                <w:szCs w:val="24"/>
              </w:rPr>
              <w:br/>
              <w:t>由评委依据各投标人项目经费测算表中的各项经费测算的合理性、可行性、科学性以及和方案的对应性等方面综合评定。</w:t>
            </w:r>
            <w:r w:rsidRPr="00406080">
              <w:rPr>
                <w:rFonts w:ascii="宋体" w:eastAsia="宋体" w:hAnsi="宋体" w:cs="宋体"/>
                <w:kern w:val="0"/>
                <w:sz w:val="24"/>
                <w:szCs w:val="24"/>
              </w:rPr>
              <w:br/>
              <w:t>无相关内容或不</w:t>
            </w:r>
            <w:r w:rsidRPr="00406080">
              <w:rPr>
                <w:rFonts w:ascii="宋体" w:eastAsia="宋体" w:hAnsi="宋体" w:cs="宋体"/>
                <w:kern w:val="0"/>
                <w:sz w:val="24"/>
                <w:szCs w:val="24"/>
              </w:rPr>
              <w:lastRenderedPageBreak/>
              <w:t>满足最低进档要求得0分。</w:t>
            </w:r>
            <w:r w:rsidRPr="00406080">
              <w:rPr>
                <w:rFonts w:ascii="宋体" w:eastAsia="宋体" w:hAnsi="宋体" w:cs="宋体"/>
                <w:kern w:val="0"/>
                <w:sz w:val="24"/>
                <w:szCs w:val="24"/>
              </w:rPr>
              <w:br/>
              <w:t>一档（1分）：项目经费测算中无明显低于国家及行业相关规定内容或无明显缺漏，但分类不够明细，合理性与可行性有欠缺；</w:t>
            </w:r>
            <w:r w:rsidRPr="00406080">
              <w:rPr>
                <w:rFonts w:ascii="宋体" w:eastAsia="宋体" w:hAnsi="宋体" w:cs="宋体"/>
                <w:kern w:val="0"/>
                <w:sz w:val="24"/>
                <w:szCs w:val="24"/>
              </w:rPr>
              <w:br/>
              <w:t>二档（2分）：项目经费测算符合国家及行业相关规定，且分类明细，能够涵盖人员基本工资、社会统筹保险、节假日加班费、物资费用、劳保费用、管理费用、税费等，考虑周全；</w:t>
            </w:r>
            <w:r w:rsidRPr="00406080">
              <w:rPr>
                <w:rFonts w:ascii="宋体" w:eastAsia="宋体" w:hAnsi="宋体" w:cs="宋体"/>
                <w:kern w:val="0"/>
                <w:sz w:val="24"/>
                <w:szCs w:val="24"/>
              </w:rPr>
              <w:br/>
              <w:t>三档（3分）：在二档基础上投标人的各项服务成本支出与项目实际需求契合度高，项目经费测算能够考虑到服务期间人力和相关物价波动，有较强的灵活性；提供的成本测算表、运营成本支出可操作性强。</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（11）项目经费测算（满分6分）</w:t>
            </w:r>
            <w:r w:rsidRPr="00406080">
              <w:rPr>
                <w:rFonts w:ascii="宋体" w:eastAsia="宋体" w:hAnsi="宋体" w:cs="宋体"/>
                <w:kern w:val="0"/>
                <w:sz w:val="24"/>
                <w:szCs w:val="24"/>
              </w:rPr>
              <w:br/>
              <w:t>由评委依据各投标人项目经费测算表中的各项经费测算的合理性、可行性、科学性以及和方案的对应性等方面综合评定。</w:t>
            </w:r>
            <w:r w:rsidRPr="00406080">
              <w:rPr>
                <w:rFonts w:ascii="宋体" w:eastAsia="宋体" w:hAnsi="宋体" w:cs="宋体"/>
                <w:kern w:val="0"/>
                <w:sz w:val="24"/>
                <w:szCs w:val="24"/>
              </w:rPr>
              <w:br/>
              <w:t>无相关内容或不</w:t>
            </w:r>
            <w:r w:rsidRPr="00406080">
              <w:rPr>
                <w:rFonts w:ascii="宋体" w:eastAsia="宋体" w:hAnsi="宋体" w:cs="宋体"/>
                <w:kern w:val="0"/>
                <w:sz w:val="24"/>
                <w:szCs w:val="24"/>
              </w:rPr>
              <w:lastRenderedPageBreak/>
              <w:t>满足最低进档要求得0分。</w:t>
            </w:r>
            <w:r w:rsidRPr="00406080">
              <w:rPr>
                <w:rFonts w:ascii="宋体" w:eastAsia="宋体" w:hAnsi="宋体" w:cs="宋体"/>
                <w:kern w:val="0"/>
                <w:sz w:val="24"/>
                <w:szCs w:val="24"/>
              </w:rPr>
              <w:br/>
              <w:t>一档（2分）：项目经费测算中无明显低于国家及行业相关规定内容或无明显缺漏，但分类不够明细，合理性与可行性有欠缺；</w:t>
            </w:r>
            <w:r w:rsidRPr="00406080">
              <w:rPr>
                <w:rFonts w:ascii="宋体" w:eastAsia="宋体" w:hAnsi="宋体" w:cs="宋体"/>
                <w:kern w:val="0"/>
                <w:sz w:val="24"/>
                <w:szCs w:val="24"/>
              </w:rPr>
              <w:br/>
              <w:t>二档（4分）：项目经费测算符合国家及行业相关规定，且分类明细，能够涵盖人员基本工资、社会统筹保险、节假日加班费、物资费用、劳保费用、管理费用、税费等，考虑周全；</w:t>
            </w:r>
            <w:r w:rsidRPr="00406080">
              <w:rPr>
                <w:rFonts w:ascii="宋体" w:eastAsia="宋体" w:hAnsi="宋体" w:cs="宋体"/>
                <w:kern w:val="0"/>
                <w:sz w:val="24"/>
                <w:szCs w:val="24"/>
              </w:rPr>
              <w:br/>
              <w:t>三档（6分）：在二档基础上投标人的各项服务成本支出与项目实际需求契合度高，项目经费测算能够考虑到服务期间人力和相关物价波动，有较强的灵活性；提供的成本测算表、运营成本支出可操作性强。</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12</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本项目第一章公开招标公告“六、其他补充事宜”中</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（2）采用网上银行转账形式的，投标人应于提交投标文件截止时间前将投标保证金交至以下账户。</w:t>
            </w:r>
            <w:r w:rsidRPr="00406080">
              <w:rPr>
                <w:rFonts w:ascii="宋体" w:eastAsia="宋体" w:hAnsi="宋体" w:cs="宋体"/>
                <w:kern w:val="0"/>
                <w:sz w:val="24"/>
                <w:szCs w:val="24"/>
              </w:rPr>
              <w:br/>
              <w:t>开户名称：广西壮族自治区政府采购中心；</w:t>
            </w:r>
            <w:r w:rsidRPr="00406080">
              <w:rPr>
                <w:rFonts w:ascii="宋体" w:eastAsia="宋体" w:hAnsi="宋体" w:cs="宋体"/>
                <w:kern w:val="0"/>
                <w:sz w:val="24"/>
                <w:szCs w:val="24"/>
              </w:rPr>
              <w:br/>
            </w:r>
            <w:r w:rsidRPr="00406080">
              <w:rPr>
                <w:rFonts w:ascii="宋体" w:eastAsia="宋体" w:hAnsi="宋体" w:cs="宋体"/>
                <w:kern w:val="0"/>
                <w:sz w:val="24"/>
                <w:szCs w:val="24"/>
              </w:rPr>
              <w:lastRenderedPageBreak/>
              <w:t>开户银行：中国建设银行南宁市华东路支行；</w:t>
            </w:r>
            <w:r w:rsidRPr="00406080">
              <w:rPr>
                <w:rFonts w:ascii="宋体" w:eastAsia="宋体" w:hAnsi="宋体" w:cs="宋体"/>
                <w:kern w:val="0"/>
                <w:sz w:val="24"/>
                <w:szCs w:val="24"/>
              </w:rPr>
              <w:br/>
              <w:t>银行账号：45001604568059198888</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（2）采用网上银行转账形式的，投标人应于提交投标文件截止时间前将投标保证金交至以下账户。</w:t>
            </w:r>
            <w:r w:rsidRPr="00406080">
              <w:rPr>
                <w:rFonts w:ascii="宋体" w:eastAsia="宋体" w:hAnsi="宋体" w:cs="宋体"/>
                <w:kern w:val="0"/>
                <w:sz w:val="24"/>
                <w:szCs w:val="24"/>
              </w:rPr>
              <w:br/>
              <w:t>开户名称：广西壮族自治区政府采购中心；</w:t>
            </w:r>
            <w:r w:rsidRPr="00406080">
              <w:rPr>
                <w:rFonts w:ascii="宋体" w:eastAsia="宋体" w:hAnsi="宋体" w:cs="宋体"/>
                <w:kern w:val="0"/>
                <w:sz w:val="24"/>
                <w:szCs w:val="24"/>
              </w:rPr>
              <w:br/>
            </w:r>
            <w:r w:rsidRPr="00406080">
              <w:rPr>
                <w:rFonts w:ascii="宋体" w:eastAsia="宋体" w:hAnsi="宋体" w:cs="宋体"/>
                <w:kern w:val="0"/>
                <w:sz w:val="24"/>
                <w:szCs w:val="24"/>
              </w:rPr>
              <w:lastRenderedPageBreak/>
              <w:t>开户银行：中国农业银行股份有限公司南宁市古城支行；</w:t>
            </w:r>
            <w:r w:rsidRPr="00406080">
              <w:rPr>
                <w:rFonts w:ascii="宋体" w:eastAsia="宋体" w:hAnsi="宋体" w:cs="宋体"/>
                <w:kern w:val="0"/>
                <w:sz w:val="24"/>
                <w:szCs w:val="24"/>
              </w:rPr>
              <w:br/>
              <w:t>银行账号：20009101040051648</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13</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提交投标文件截止时间、开标时间、投标保证金交纳截止时间</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提交投标文件截止时间、开标时间、投标保证金交纳截止时间：2023年9月8日 10:00（北京时间）</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提交投标文件截止时间、开标时间、投标保证金交纳截止时间：2023年9月22日 10:00（北京时间）</w:t>
            </w:r>
          </w:p>
        </w:tc>
      </w:tr>
    </w:tbl>
    <w:p w:rsidR="00406080" w:rsidRPr="00406080" w:rsidRDefault="00406080" w:rsidP="00406080">
      <w:pPr>
        <w:widowControl/>
        <w:spacing w:line="272" w:lineRule="atLeast"/>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更正日期：</w:t>
      </w:r>
      <w:r w:rsidRPr="00406080">
        <w:rPr>
          <w:rFonts w:ascii="微软雅黑" w:eastAsia="微软雅黑" w:hAnsi="微软雅黑" w:cs="宋体" w:hint="eastAsia"/>
          <w:color w:val="000000"/>
          <w:kern w:val="0"/>
          <w:sz w:val="25"/>
        </w:rPr>
        <w:t>2023年09月06日</w:t>
      </w:r>
      <w:r w:rsidRPr="00406080">
        <w:rPr>
          <w:rFonts w:ascii="微软雅黑" w:eastAsia="微软雅黑" w:hAnsi="微软雅黑" w:cs="宋体" w:hint="eastAsia"/>
          <w:color w:val="000000"/>
          <w:kern w:val="0"/>
          <w:sz w:val="25"/>
          <w:szCs w:val="25"/>
        </w:rPr>
        <w:t xml:space="preserve">　　　                    </w:t>
      </w:r>
    </w:p>
    <w:p w:rsidR="00406080" w:rsidRPr="00406080" w:rsidRDefault="00406080" w:rsidP="00406080">
      <w:pPr>
        <w:widowControl/>
        <w:spacing w:before="231" w:after="231" w:line="408" w:lineRule="atLeas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b/>
          <w:bCs/>
          <w:color w:val="000000"/>
          <w:kern w:val="0"/>
          <w:sz w:val="25"/>
        </w:rPr>
        <w:t>三、其他补充事宜</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231" w:after="231" w:line="435" w:lineRule="atLeas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b/>
          <w:bCs/>
          <w:color w:val="000000"/>
          <w:kern w:val="0"/>
          <w:sz w:val="25"/>
        </w:rPr>
        <w:t>四、对本次公告提出询问，请按以下方式联系。</w:t>
      </w:r>
      <w:r w:rsidRPr="00406080">
        <w:rPr>
          <w:rFonts w:ascii="微软雅黑" w:eastAsia="微软雅黑" w:hAnsi="微软雅黑" w:cs="宋体" w:hint="eastAsia"/>
          <w:color w:val="000000"/>
          <w:kern w:val="0"/>
          <w:sz w:val="22"/>
        </w:rPr>
        <w:t xml:space="preserve">　　　</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1.采购人信息</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名    称：</w:t>
      </w:r>
      <w:r w:rsidRPr="00406080">
        <w:rPr>
          <w:rFonts w:ascii="微软雅黑" w:eastAsia="微软雅黑" w:hAnsi="微软雅黑" w:cs="宋体" w:hint="eastAsia"/>
          <w:color w:val="000000"/>
          <w:kern w:val="0"/>
          <w:sz w:val="25"/>
        </w:rPr>
        <w:t>广西工业职业技术学院</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地    址：</w:t>
      </w:r>
      <w:r w:rsidRPr="00406080">
        <w:rPr>
          <w:rFonts w:ascii="微软雅黑" w:eastAsia="微软雅黑" w:hAnsi="微软雅黑" w:cs="宋体" w:hint="eastAsia"/>
          <w:color w:val="000000"/>
          <w:kern w:val="0"/>
          <w:sz w:val="25"/>
        </w:rPr>
        <w:t>南宁市西乡塘区秀灵路37号</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联系方式：</w:t>
      </w:r>
      <w:r w:rsidRPr="00406080">
        <w:rPr>
          <w:rFonts w:ascii="微软雅黑" w:eastAsia="微软雅黑" w:hAnsi="微软雅黑" w:cs="宋体" w:hint="eastAsia"/>
          <w:color w:val="000000"/>
          <w:kern w:val="0"/>
          <w:sz w:val="25"/>
        </w:rPr>
        <w:t>0771-3828335</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2.采购代理机构信息</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lastRenderedPageBreak/>
        <w:t>名    称：</w:t>
      </w:r>
      <w:r w:rsidRPr="00406080">
        <w:rPr>
          <w:rFonts w:ascii="微软雅黑" w:eastAsia="微软雅黑" w:hAnsi="微软雅黑" w:cs="宋体" w:hint="eastAsia"/>
          <w:color w:val="000000"/>
          <w:kern w:val="0"/>
          <w:sz w:val="25"/>
        </w:rPr>
        <w:t>广西壮族自治区政府采购中心</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地    址：</w:t>
      </w:r>
      <w:r w:rsidRPr="00406080">
        <w:rPr>
          <w:rFonts w:ascii="微软雅黑" w:eastAsia="微软雅黑" w:hAnsi="微软雅黑" w:cs="宋体" w:hint="eastAsia"/>
          <w:color w:val="000000"/>
          <w:kern w:val="0"/>
          <w:sz w:val="25"/>
        </w:rPr>
        <w:t>广西南宁市朝阳路63号凤凰大厦</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联系方式：</w:t>
      </w:r>
      <w:r w:rsidRPr="00406080">
        <w:rPr>
          <w:rFonts w:ascii="微软雅黑" w:eastAsia="微软雅黑" w:hAnsi="微软雅黑" w:cs="宋体" w:hint="eastAsia"/>
          <w:color w:val="000000"/>
          <w:kern w:val="0"/>
          <w:sz w:val="25"/>
        </w:rPr>
        <w:t>0771-5309313</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3.项目联系方式</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项目联系人：</w:t>
      </w:r>
      <w:r w:rsidRPr="00406080">
        <w:rPr>
          <w:rFonts w:ascii="微软雅黑" w:eastAsia="微软雅黑" w:hAnsi="微软雅黑" w:cs="宋体" w:hint="eastAsia"/>
          <w:color w:val="000000"/>
          <w:kern w:val="0"/>
          <w:sz w:val="25"/>
        </w:rPr>
        <w:t>王笑</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电      话：</w:t>
      </w:r>
      <w:r w:rsidRPr="00406080">
        <w:rPr>
          <w:rFonts w:ascii="微软雅黑" w:eastAsia="微软雅黑" w:hAnsi="微软雅黑" w:cs="宋体" w:hint="eastAsia"/>
          <w:color w:val="000000"/>
          <w:kern w:val="0"/>
          <w:sz w:val="25"/>
        </w:rPr>
        <w:t>0771-5309313</w:t>
      </w: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Default="00406080" w:rsidP="00406080">
      <w:pPr>
        <w:widowControl/>
        <w:spacing w:line="408" w:lineRule="atLeast"/>
        <w:jc w:val="center"/>
        <w:rPr>
          <w:rFonts w:ascii="微软雅黑" w:eastAsia="微软雅黑" w:hAnsi="微软雅黑" w:cs="宋体" w:hint="eastAsia"/>
          <w:b/>
          <w:bCs/>
          <w:color w:val="000000"/>
          <w:kern w:val="0"/>
          <w:sz w:val="33"/>
          <w:szCs w:val="33"/>
        </w:rPr>
      </w:pPr>
    </w:p>
    <w:p w:rsidR="00406080" w:rsidRPr="00406080" w:rsidRDefault="00406080" w:rsidP="00406080">
      <w:pPr>
        <w:widowControl/>
        <w:spacing w:line="408" w:lineRule="atLeast"/>
        <w:jc w:val="center"/>
        <w:rPr>
          <w:rFonts w:ascii="微软雅黑" w:eastAsia="微软雅黑" w:hAnsi="微软雅黑" w:cs="宋体"/>
          <w:b/>
          <w:bCs/>
          <w:color w:val="000000"/>
          <w:kern w:val="0"/>
          <w:sz w:val="33"/>
          <w:szCs w:val="33"/>
        </w:rPr>
      </w:pPr>
      <w:r w:rsidRPr="00406080">
        <w:rPr>
          <w:rFonts w:ascii="微软雅黑" w:eastAsia="微软雅黑" w:hAnsi="微软雅黑" w:cs="宋体" w:hint="eastAsia"/>
          <w:b/>
          <w:bCs/>
          <w:color w:val="000000"/>
          <w:kern w:val="0"/>
          <w:sz w:val="33"/>
          <w:szCs w:val="33"/>
        </w:rPr>
        <w:lastRenderedPageBreak/>
        <w:t>广西壮族自治区政府采购中心关于广西工业职业技术学院武鸣校区物业服务采购（GXZC2023-G3-002767-CGZX）的更正公告</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来源：广西壮族自治区政府采购中心</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 </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 </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发布时间：2023-09-22</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 </w:t>
      </w:r>
    </w:p>
    <w:p w:rsidR="00406080" w:rsidRPr="00406080" w:rsidRDefault="00406080" w:rsidP="00406080">
      <w:pPr>
        <w:widowControl/>
        <w:jc w:val="center"/>
        <w:rPr>
          <w:rFonts w:ascii="微软雅黑" w:eastAsia="微软雅黑" w:hAnsi="微软雅黑" w:cs="宋体" w:hint="eastAsia"/>
          <w:color w:val="666666"/>
          <w:kern w:val="0"/>
          <w:sz w:val="19"/>
          <w:szCs w:val="19"/>
        </w:rPr>
      </w:pPr>
      <w:r w:rsidRPr="00406080">
        <w:rPr>
          <w:rFonts w:ascii="微软雅黑" w:eastAsia="微软雅黑" w:hAnsi="微软雅黑" w:cs="宋体" w:hint="eastAsia"/>
          <w:color w:val="666666"/>
          <w:kern w:val="0"/>
          <w:sz w:val="19"/>
          <w:szCs w:val="19"/>
        </w:rPr>
        <w:t>浏览次数：177</w:t>
      </w:r>
    </w:p>
    <w:p w:rsidR="00406080" w:rsidRPr="00406080" w:rsidRDefault="00406080" w:rsidP="00406080">
      <w:pPr>
        <w:widowControl/>
        <w:spacing w:before="231" w:after="231" w:line="408" w:lineRule="atLeas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b/>
          <w:bCs/>
          <w:color w:val="000000"/>
          <w:kern w:val="0"/>
          <w:sz w:val="25"/>
        </w:rPr>
        <w:t>一、项目基本情况</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原公告的采购项目编号：</w:t>
      </w:r>
      <w:r w:rsidRPr="00406080">
        <w:rPr>
          <w:rFonts w:ascii="微软雅黑" w:eastAsia="微软雅黑" w:hAnsi="微软雅黑" w:cs="宋体" w:hint="eastAsia"/>
          <w:color w:val="000000"/>
          <w:kern w:val="0"/>
          <w:sz w:val="25"/>
        </w:rPr>
        <w:t>GXZC2023-G3-002767-CGZX</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原公告的采购项目名称：</w:t>
      </w:r>
      <w:r w:rsidRPr="00406080">
        <w:rPr>
          <w:rFonts w:ascii="微软雅黑" w:eastAsia="微软雅黑" w:hAnsi="微软雅黑" w:cs="宋体" w:hint="eastAsia"/>
          <w:color w:val="000000"/>
          <w:kern w:val="0"/>
          <w:sz w:val="25"/>
        </w:rPr>
        <w:t>广西工业职业技术学院武鸣校区物业服务采购</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首次公告日期：</w:t>
      </w:r>
      <w:r w:rsidRPr="00406080">
        <w:rPr>
          <w:rFonts w:ascii="微软雅黑" w:eastAsia="微软雅黑" w:hAnsi="微软雅黑" w:cs="宋体" w:hint="eastAsia"/>
          <w:color w:val="000000"/>
          <w:kern w:val="0"/>
          <w:sz w:val="25"/>
        </w:rPr>
        <w:t>2023年08月18日</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231" w:after="231" w:line="408" w:lineRule="atLeas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b/>
          <w:bCs/>
          <w:color w:val="000000"/>
          <w:kern w:val="0"/>
          <w:sz w:val="25"/>
        </w:rPr>
        <w:t>二、更正信息</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更正事项：</w:t>
      </w:r>
      <w:r w:rsidRPr="00406080">
        <w:rPr>
          <w:rFonts w:ascii="微软雅黑" w:eastAsia="微软雅黑" w:hAnsi="微软雅黑" w:cs="宋体" w:hint="eastAsia"/>
          <w:color w:val="000000"/>
          <w:kern w:val="0"/>
          <w:sz w:val="25"/>
        </w:rPr>
        <w:t>采购公告,采购文件</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更正内容：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rPr>
        <w:t>       </w:t>
      </w:r>
    </w:p>
    <w:tbl>
      <w:tblPr>
        <w:tblW w:w="5000" w:type="pct"/>
        <w:tblCellMar>
          <w:top w:w="15" w:type="dxa"/>
          <w:left w:w="15" w:type="dxa"/>
          <w:bottom w:w="15" w:type="dxa"/>
          <w:right w:w="15" w:type="dxa"/>
        </w:tblCellMar>
        <w:tblLook w:val="04A0"/>
      </w:tblPr>
      <w:tblGrid>
        <w:gridCol w:w="2144"/>
        <w:gridCol w:w="2144"/>
        <w:gridCol w:w="2145"/>
        <w:gridCol w:w="2145"/>
      </w:tblGrid>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序号</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更正项</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更正前内容</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更正后内容</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1</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第二章 招标项目采购需求-第二部分 服务人员及薪资福利待遇要求-1-其中物业服务人员的要求为：</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（1）管理组管理人员负责管理广西工业职业技术学院武鸣校区物业管理工作，每周一早上8点半向后勤保卫处汇报工作，主动与学校协调工作。</w:t>
            </w:r>
            <w:r w:rsidRPr="00406080">
              <w:rPr>
                <w:rFonts w:ascii="宋体" w:eastAsia="宋体" w:hAnsi="宋体" w:cs="宋体"/>
                <w:kern w:val="0"/>
                <w:sz w:val="24"/>
                <w:szCs w:val="24"/>
              </w:rPr>
              <w:br/>
              <w:t>（2）项目经理，年龄55岁以下，五年以上相关物业管理工作经验,具有本科或以上学历。</w:t>
            </w:r>
            <w:r w:rsidRPr="00406080">
              <w:rPr>
                <w:rFonts w:ascii="宋体" w:eastAsia="宋体" w:hAnsi="宋体" w:cs="宋体"/>
                <w:kern w:val="0"/>
                <w:sz w:val="24"/>
                <w:szCs w:val="24"/>
              </w:rPr>
              <w:br/>
              <w:t>（3）行政管理员，年龄40岁以下，三年以上行政管理工作经验，熟练使用Word、Excel等办公软件，负责物业相关材料收集、归档并提供给后勤保卫处等工作。</w:t>
            </w:r>
            <w:r w:rsidRPr="00406080">
              <w:rPr>
                <w:rFonts w:ascii="宋体" w:eastAsia="宋体" w:hAnsi="宋体" w:cs="宋体"/>
                <w:kern w:val="0"/>
                <w:sz w:val="24"/>
                <w:szCs w:val="24"/>
              </w:rPr>
              <w:br/>
              <w:t>（4）所有服务人员学历要求在初中毕业或以上，秩序维护人员30-55岁年龄段人数须占秩序维护人员总人数60%或以上。</w:t>
            </w:r>
            <w:r w:rsidRPr="00406080">
              <w:rPr>
                <w:rFonts w:ascii="宋体" w:eastAsia="宋体" w:hAnsi="宋体" w:cs="宋体"/>
                <w:kern w:val="0"/>
                <w:sz w:val="24"/>
                <w:szCs w:val="24"/>
              </w:rPr>
              <w:br/>
              <w:t>（5）秩序维护主管，年龄45岁以下，具有五年或以上工作经验。秩序维护组中有2名或2名以上具有消防设施操作员证。</w:t>
            </w:r>
            <w:r w:rsidRPr="00406080">
              <w:rPr>
                <w:rFonts w:ascii="宋体" w:eastAsia="宋体" w:hAnsi="宋体" w:cs="宋体"/>
                <w:kern w:val="0"/>
                <w:sz w:val="24"/>
                <w:szCs w:val="24"/>
              </w:rPr>
              <w:br/>
              <w:t>（6）要求秩序维护组人员6人或以</w:t>
            </w:r>
            <w:r w:rsidRPr="00406080">
              <w:rPr>
                <w:rFonts w:ascii="宋体" w:eastAsia="宋体" w:hAnsi="宋体" w:cs="宋体"/>
                <w:kern w:val="0"/>
                <w:sz w:val="24"/>
                <w:szCs w:val="24"/>
              </w:rPr>
              <w:lastRenderedPageBreak/>
              <w:t>上具有经过职业岗位培训并获得保安员证。</w:t>
            </w:r>
            <w:r w:rsidRPr="00406080">
              <w:rPr>
                <w:rFonts w:ascii="宋体" w:eastAsia="宋体" w:hAnsi="宋体" w:cs="宋体"/>
                <w:kern w:val="0"/>
                <w:sz w:val="24"/>
                <w:szCs w:val="24"/>
              </w:rPr>
              <w:br/>
              <w:t>（7）保洁绿化主管，年龄45岁以下，五年以上工作经验。</w:t>
            </w:r>
            <w:r w:rsidRPr="00406080">
              <w:rPr>
                <w:rFonts w:ascii="宋体" w:eastAsia="宋体" w:hAnsi="宋体" w:cs="宋体"/>
                <w:kern w:val="0"/>
                <w:sz w:val="24"/>
                <w:szCs w:val="24"/>
              </w:rPr>
              <w:br/>
              <w:t>（8）绿化工，年龄50岁以下，至少1人有5年以上园林绿化工作经验。</w:t>
            </w:r>
            <w:r w:rsidRPr="00406080">
              <w:rPr>
                <w:rFonts w:ascii="宋体" w:eastAsia="宋体" w:hAnsi="宋体" w:cs="宋体"/>
                <w:kern w:val="0"/>
                <w:sz w:val="24"/>
                <w:szCs w:val="24"/>
              </w:rPr>
              <w:br/>
              <w:t>（9）宿管主管，年龄50岁以下，五年以上工作经验。</w:t>
            </w:r>
            <w:r w:rsidRPr="00406080">
              <w:rPr>
                <w:rFonts w:ascii="宋体" w:eastAsia="宋体" w:hAnsi="宋体" w:cs="宋体"/>
                <w:kern w:val="0"/>
                <w:sz w:val="24"/>
                <w:szCs w:val="24"/>
              </w:rPr>
              <w:br/>
              <w:t>（10）水电维修主管，年龄50岁以下，五年以上相关工作经验,具有大专及以上学历，持电工证。</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（1）管理组管理人员负责管理广西工业职业技术学院武鸣校区物业管理工作，每周一早上8点半向后勤保卫处汇报工作，主动与学校协调工作。</w:t>
            </w:r>
            <w:r w:rsidRPr="00406080">
              <w:rPr>
                <w:rFonts w:ascii="宋体" w:eastAsia="宋体" w:hAnsi="宋体" w:cs="宋体"/>
                <w:kern w:val="0"/>
                <w:sz w:val="24"/>
                <w:szCs w:val="24"/>
              </w:rPr>
              <w:br/>
              <w:t>（2）项目经理，五年以上相关物业管理工作经验,具有本科或以上学历。</w:t>
            </w:r>
            <w:r w:rsidRPr="00406080">
              <w:rPr>
                <w:rFonts w:ascii="宋体" w:eastAsia="宋体" w:hAnsi="宋体" w:cs="宋体"/>
                <w:kern w:val="0"/>
                <w:sz w:val="24"/>
                <w:szCs w:val="24"/>
              </w:rPr>
              <w:br/>
              <w:t>（3）行政管理员，三年以上行政管理工作经验，熟练使用Word、Excel等办公软件，负责物业相关材料收集、归档并提供给后勤保卫处等工作。</w:t>
            </w:r>
            <w:r w:rsidRPr="00406080">
              <w:rPr>
                <w:rFonts w:ascii="宋体" w:eastAsia="宋体" w:hAnsi="宋体" w:cs="宋体"/>
                <w:kern w:val="0"/>
                <w:sz w:val="24"/>
                <w:szCs w:val="24"/>
              </w:rPr>
              <w:br/>
              <w:t>（4）所有服务人员学历要求在初中毕业或以上。</w:t>
            </w:r>
            <w:r w:rsidRPr="00406080">
              <w:rPr>
                <w:rFonts w:ascii="宋体" w:eastAsia="宋体" w:hAnsi="宋体" w:cs="宋体"/>
                <w:kern w:val="0"/>
                <w:sz w:val="24"/>
                <w:szCs w:val="24"/>
              </w:rPr>
              <w:br/>
              <w:t>（5）秩序维护主管，具有五年或以上工作经验。秩序维护组中有2名或2名以上具有消防设施操作员证。</w:t>
            </w:r>
            <w:r w:rsidRPr="00406080">
              <w:rPr>
                <w:rFonts w:ascii="宋体" w:eastAsia="宋体" w:hAnsi="宋体" w:cs="宋体"/>
                <w:kern w:val="0"/>
                <w:sz w:val="24"/>
                <w:szCs w:val="24"/>
              </w:rPr>
              <w:br/>
              <w:t>（6）要求秩序维护组人员6人或以上具有经过职业岗位培训并获得保安员证。</w:t>
            </w:r>
            <w:r w:rsidRPr="00406080">
              <w:rPr>
                <w:rFonts w:ascii="宋体" w:eastAsia="宋体" w:hAnsi="宋体" w:cs="宋体"/>
                <w:kern w:val="0"/>
                <w:sz w:val="24"/>
                <w:szCs w:val="24"/>
              </w:rPr>
              <w:br/>
              <w:t>（7）保洁绿化主管，五年以上工作经验。</w:t>
            </w:r>
            <w:r w:rsidRPr="00406080">
              <w:rPr>
                <w:rFonts w:ascii="宋体" w:eastAsia="宋体" w:hAnsi="宋体" w:cs="宋体"/>
                <w:kern w:val="0"/>
                <w:sz w:val="24"/>
                <w:szCs w:val="24"/>
              </w:rPr>
              <w:br/>
              <w:t>（8）绿化工，至少1人有5年以上</w:t>
            </w:r>
            <w:r w:rsidRPr="00406080">
              <w:rPr>
                <w:rFonts w:ascii="宋体" w:eastAsia="宋体" w:hAnsi="宋体" w:cs="宋体"/>
                <w:kern w:val="0"/>
                <w:sz w:val="24"/>
                <w:szCs w:val="24"/>
              </w:rPr>
              <w:lastRenderedPageBreak/>
              <w:t>园林绿化工作经验。</w:t>
            </w:r>
            <w:r w:rsidRPr="00406080">
              <w:rPr>
                <w:rFonts w:ascii="宋体" w:eastAsia="宋体" w:hAnsi="宋体" w:cs="宋体"/>
                <w:kern w:val="0"/>
                <w:sz w:val="24"/>
                <w:szCs w:val="24"/>
              </w:rPr>
              <w:br/>
              <w:t>（9）宿管主管，五年以上工作经验。</w:t>
            </w:r>
            <w:r w:rsidRPr="00406080">
              <w:rPr>
                <w:rFonts w:ascii="宋体" w:eastAsia="宋体" w:hAnsi="宋体" w:cs="宋体"/>
                <w:kern w:val="0"/>
                <w:sz w:val="24"/>
                <w:szCs w:val="24"/>
              </w:rPr>
              <w:br/>
              <w:t>（10）水电维修主管，五年以上相关工作经验,具有大专及以上学历，持电工证。</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lastRenderedPageBreak/>
              <w:t>2</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第二章 招标项目采购需求-第三部分 服务范围及工作要求-二、保洁绿化管理服务-（四）校园保洁服务质量考核办法</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8.中标人所聘用人员要身体健康，行为端正，遵纪守法，年龄介于18-55岁之间，小学以上文化程度,并按相关要求与员工签订劳动合同。</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8.中标人所聘用人员要身体健康，行为端正，遵纪守法，并按相关要求与员工签订劳动合同。</w:t>
            </w:r>
          </w:p>
        </w:tc>
      </w:tr>
      <w:tr w:rsidR="00406080" w:rsidRPr="00406080" w:rsidTr="00406080">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3</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提交投标文件截止时间、开标时间、投标保证金交纳截止时间</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原提交投标文件截止时间、开标时间、投标保证金交纳截止时间：暂停</w:t>
            </w:r>
          </w:p>
        </w:tc>
        <w:tc>
          <w:tcPr>
            <w:tcW w:w="1250" w:type="pct"/>
            <w:tcBorders>
              <w:top w:val="single" w:sz="6" w:space="0" w:color="DDDDDD"/>
              <w:left w:val="single" w:sz="6" w:space="0" w:color="DDDDDD"/>
              <w:bottom w:val="single" w:sz="6" w:space="0" w:color="DDDDDD"/>
              <w:right w:val="single" w:sz="6" w:space="0" w:color="DDDDDD"/>
            </w:tcBorders>
            <w:tcMar>
              <w:top w:w="68" w:type="dxa"/>
              <w:left w:w="136" w:type="dxa"/>
              <w:bottom w:w="68" w:type="dxa"/>
              <w:right w:w="136" w:type="dxa"/>
            </w:tcMar>
            <w:vAlign w:val="center"/>
            <w:hideMark/>
          </w:tcPr>
          <w:p w:rsidR="00406080" w:rsidRPr="00406080" w:rsidRDefault="00406080" w:rsidP="00406080">
            <w:pPr>
              <w:widowControl/>
              <w:wordWrap w:val="0"/>
              <w:jc w:val="center"/>
              <w:rPr>
                <w:rFonts w:ascii="宋体" w:eastAsia="宋体" w:hAnsi="宋体" w:cs="宋体"/>
                <w:kern w:val="0"/>
                <w:sz w:val="24"/>
                <w:szCs w:val="24"/>
              </w:rPr>
            </w:pPr>
            <w:r w:rsidRPr="00406080">
              <w:rPr>
                <w:rFonts w:ascii="宋体" w:eastAsia="宋体" w:hAnsi="宋体" w:cs="宋体"/>
                <w:kern w:val="0"/>
                <w:sz w:val="24"/>
                <w:szCs w:val="24"/>
              </w:rPr>
              <w:t>该项目恢复采购，提交投标文件截止时间、开标时间、投标保证金交纳截止时间：2023年10月10日 10:00（北京时间）</w:t>
            </w:r>
          </w:p>
        </w:tc>
      </w:tr>
    </w:tbl>
    <w:p w:rsidR="00406080" w:rsidRPr="00406080" w:rsidRDefault="00406080" w:rsidP="00406080">
      <w:pPr>
        <w:widowControl/>
        <w:spacing w:line="272" w:lineRule="atLeast"/>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color w:val="000000"/>
          <w:kern w:val="0"/>
          <w:sz w:val="25"/>
          <w:szCs w:val="25"/>
        </w:rPr>
        <w:t>更正日期：</w:t>
      </w:r>
      <w:r w:rsidRPr="00406080">
        <w:rPr>
          <w:rFonts w:ascii="微软雅黑" w:eastAsia="微软雅黑" w:hAnsi="微软雅黑" w:cs="宋体" w:hint="eastAsia"/>
          <w:color w:val="000000"/>
          <w:kern w:val="0"/>
          <w:sz w:val="25"/>
        </w:rPr>
        <w:t>2023年09月22日</w:t>
      </w:r>
      <w:r w:rsidRPr="00406080">
        <w:rPr>
          <w:rFonts w:ascii="微软雅黑" w:eastAsia="微软雅黑" w:hAnsi="微软雅黑" w:cs="宋体" w:hint="eastAsia"/>
          <w:color w:val="000000"/>
          <w:kern w:val="0"/>
          <w:sz w:val="25"/>
          <w:szCs w:val="25"/>
        </w:rPr>
        <w:t xml:space="preserve">　　　                    </w:t>
      </w:r>
    </w:p>
    <w:p w:rsidR="00406080" w:rsidRPr="00406080" w:rsidRDefault="00406080" w:rsidP="00406080">
      <w:pPr>
        <w:widowControl/>
        <w:spacing w:before="231" w:after="231" w:line="408" w:lineRule="atLeas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b/>
          <w:bCs/>
          <w:color w:val="000000"/>
          <w:kern w:val="0"/>
          <w:sz w:val="25"/>
        </w:rPr>
        <w:lastRenderedPageBreak/>
        <w:t>三、其他补充事宜</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rPr>
        <w:t>无</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231" w:after="231" w:line="435" w:lineRule="atLeast"/>
        <w:rPr>
          <w:rFonts w:ascii="微软雅黑" w:eastAsia="微软雅黑" w:hAnsi="微软雅黑" w:cs="宋体" w:hint="eastAsia"/>
          <w:color w:val="000000"/>
          <w:kern w:val="0"/>
          <w:sz w:val="25"/>
          <w:szCs w:val="25"/>
        </w:rPr>
      </w:pPr>
      <w:r w:rsidRPr="00406080">
        <w:rPr>
          <w:rFonts w:ascii="微软雅黑" w:eastAsia="微软雅黑" w:hAnsi="微软雅黑" w:cs="宋体" w:hint="eastAsia"/>
          <w:b/>
          <w:bCs/>
          <w:color w:val="000000"/>
          <w:kern w:val="0"/>
          <w:sz w:val="25"/>
        </w:rPr>
        <w:t>四、对本次公告提出询问，请按以下方式联系。</w:t>
      </w:r>
      <w:r w:rsidRPr="00406080">
        <w:rPr>
          <w:rFonts w:ascii="微软雅黑" w:eastAsia="微软雅黑" w:hAnsi="微软雅黑" w:cs="宋体" w:hint="eastAsia"/>
          <w:color w:val="000000"/>
          <w:kern w:val="0"/>
          <w:sz w:val="22"/>
        </w:rPr>
        <w:t xml:space="preserve">　　　</w:t>
      </w:r>
      <w:r w:rsidRPr="00406080">
        <w:rPr>
          <w:rFonts w:ascii="微软雅黑" w:eastAsia="微软雅黑" w:hAnsi="微软雅黑" w:cs="宋体" w:hint="eastAsia"/>
          <w:color w:val="000000"/>
          <w:kern w:val="0"/>
          <w:sz w:val="25"/>
          <w:szCs w:val="25"/>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1.采购人信息</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名    称：</w:t>
      </w:r>
      <w:r w:rsidRPr="00406080">
        <w:rPr>
          <w:rFonts w:ascii="微软雅黑" w:eastAsia="微软雅黑" w:hAnsi="微软雅黑" w:cs="宋体" w:hint="eastAsia"/>
          <w:color w:val="000000"/>
          <w:kern w:val="0"/>
          <w:sz w:val="25"/>
        </w:rPr>
        <w:t>广西工业职业技术学院</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地    址：</w:t>
      </w:r>
      <w:r w:rsidRPr="00406080">
        <w:rPr>
          <w:rFonts w:ascii="微软雅黑" w:eastAsia="微软雅黑" w:hAnsi="微软雅黑" w:cs="宋体" w:hint="eastAsia"/>
          <w:color w:val="000000"/>
          <w:kern w:val="0"/>
          <w:sz w:val="25"/>
        </w:rPr>
        <w:t>南宁市西乡塘区秀灵路37号</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联系方式：</w:t>
      </w:r>
      <w:r w:rsidRPr="00406080">
        <w:rPr>
          <w:rFonts w:ascii="微软雅黑" w:eastAsia="微软雅黑" w:hAnsi="微软雅黑" w:cs="宋体" w:hint="eastAsia"/>
          <w:color w:val="000000"/>
          <w:kern w:val="0"/>
          <w:sz w:val="25"/>
        </w:rPr>
        <w:t>0771-3828335</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2.采购代理机构信息</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名    称：</w:t>
      </w:r>
      <w:r w:rsidRPr="00406080">
        <w:rPr>
          <w:rFonts w:ascii="微软雅黑" w:eastAsia="微软雅黑" w:hAnsi="微软雅黑" w:cs="宋体" w:hint="eastAsia"/>
          <w:color w:val="000000"/>
          <w:kern w:val="0"/>
          <w:sz w:val="25"/>
        </w:rPr>
        <w:t>广西壮族自治区政府采购中心</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地    址：</w:t>
      </w:r>
      <w:r w:rsidRPr="00406080">
        <w:rPr>
          <w:rFonts w:ascii="微软雅黑" w:eastAsia="微软雅黑" w:hAnsi="微软雅黑" w:cs="宋体" w:hint="eastAsia"/>
          <w:color w:val="000000"/>
          <w:kern w:val="0"/>
          <w:sz w:val="25"/>
        </w:rPr>
        <w:t>广西南宁市朝阳路63号凤凰大厦</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联系方式：</w:t>
      </w:r>
      <w:r w:rsidRPr="00406080">
        <w:rPr>
          <w:rFonts w:ascii="微软雅黑" w:eastAsia="微软雅黑" w:hAnsi="微软雅黑" w:cs="宋体" w:hint="eastAsia"/>
          <w:color w:val="000000"/>
          <w:kern w:val="0"/>
          <w:sz w:val="25"/>
        </w:rPr>
        <w:t>0771-5309313</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3.项目联系方式</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t>项目联系人：</w:t>
      </w:r>
      <w:r w:rsidRPr="00406080">
        <w:rPr>
          <w:rFonts w:ascii="微软雅黑" w:eastAsia="微软雅黑" w:hAnsi="微软雅黑" w:cs="宋体" w:hint="eastAsia"/>
          <w:color w:val="000000"/>
          <w:kern w:val="0"/>
          <w:sz w:val="25"/>
        </w:rPr>
        <w:t>王笑</w:t>
      </w:r>
      <w:r w:rsidRPr="00406080">
        <w:rPr>
          <w:rFonts w:ascii="微软雅黑" w:eastAsia="微软雅黑" w:hAnsi="微软雅黑" w:cs="宋体" w:hint="eastAsia"/>
          <w:color w:val="000000"/>
          <w:kern w:val="0"/>
          <w:sz w:val="27"/>
          <w:szCs w:val="27"/>
        </w:rPr>
        <w:t>  </w:t>
      </w:r>
    </w:p>
    <w:p w:rsidR="00406080" w:rsidRPr="00406080" w:rsidRDefault="00406080" w:rsidP="00406080">
      <w:pPr>
        <w:widowControl/>
        <w:spacing w:before="100" w:beforeAutospacing="1" w:after="100" w:afterAutospacing="1" w:line="272" w:lineRule="atLeast"/>
        <w:ind w:firstLine="480"/>
        <w:jc w:val="left"/>
        <w:rPr>
          <w:rFonts w:ascii="微软雅黑" w:eastAsia="微软雅黑" w:hAnsi="微软雅黑" w:cs="宋体" w:hint="eastAsia"/>
          <w:color w:val="000000"/>
          <w:kern w:val="0"/>
          <w:sz w:val="27"/>
          <w:szCs w:val="27"/>
        </w:rPr>
      </w:pPr>
      <w:r w:rsidRPr="00406080">
        <w:rPr>
          <w:rFonts w:ascii="微软雅黑" w:eastAsia="微软雅黑" w:hAnsi="微软雅黑" w:cs="宋体" w:hint="eastAsia"/>
          <w:color w:val="000000"/>
          <w:kern w:val="0"/>
          <w:sz w:val="25"/>
          <w:szCs w:val="25"/>
        </w:rPr>
        <w:lastRenderedPageBreak/>
        <w:t>电      话：</w:t>
      </w:r>
      <w:r w:rsidRPr="00406080">
        <w:rPr>
          <w:rFonts w:ascii="微软雅黑" w:eastAsia="微软雅黑" w:hAnsi="微软雅黑" w:cs="宋体" w:hint="eastAsia"/>
          <w:color w:val="000000"/>
          <w:kern w:val="0"/>
          <w:sz w:val="25"/>
        </w:rPr>
        <w:t>0771-5309313</w:t>
      </w:r>
    </w:p>
    <w:p w:rsidR="00DA0B3E" w:rsidRPr="00406080" w:rsidRDefault="00DA0B3E"/>
    <w:sectPr w:rsidR="00DA0B3E" w:rsidRPr="004060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B3E" w:rsidRDefault="00DA0B3E" w:rsidP="00406080">
      <w:r>
        <w:separator/>
      </w:r>
    </w:p>
  </w:endnote>
  <w:endnote w:type="continuationSeparator" w:id="1">
    <w:p w:rsidR="00DA0B3E" w:rsidRDefault="00DA0B3E" w:rsidP="004060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B3E" w:rsidRDefault="00DA0B3E" w:rsidP="00406080">
      <w:r>
        <w:separator/>
      </w:r>
    </w:p>
  </w:footnote>
  <w:footnote w:type="continuationSeparator" w:id="1">
    <w:p w:rsidR="00DA0B3E" w:rsidRDefault="00DA0B3E" w:rsidP="004060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080"/>
    <w:rsid w:val="00406080"/>
    <w:rsid w:val="00DA0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6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6080"/>
    <w:rPr>
      <w:sz w:val="18"/>
      <w:szCs w:val="18"/>
    </w:rPr>
  </w:style>
  <w:style w:type="paragraph" w:styleId="a4">
    <w:name w:val="footer"/>
    <w:basedOn w:val="a"/>
    <w:link w:val="Char0"/>
    <w:uiPriority w:val="99"/>
    <w:semiHidden/>
    <w:unhideWhenUsed/>
    <w:rsid w:val="004060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6080"/>
    <w:rPr>
      <w:sz w:val="18"/>
      <w:szCs w:val="18"/>
    </w:rPr>
  </w:style>
  <w:style w:type="paragraph" w:styleId="a5">
    <w:name w:val="Normal (Web)"/>
    <w:basedOn w:val="a"/>
    <w:uiPriority w:val="99"/>
    <w:semiHidden/>
    <w:unhideWhenUsed/>
    <w:rsid w:val="0040608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6080"/>
    <w:rPr>
      <w:b/>
      <w:bCs/>
    </w:rPr>
  </w:style>
  <w:style w:type="character" w:customStyle="1" w:styleId="bookmark-item">
    <w:name w:val="bookmark-item"/>
    <w:basedOn w:val="a0"/>
    <w:rsid w:val="00406080"/>
  </w:style>
  <w:style w:type="character" w:styleId="HTML">
    <w:name w:val="HTML Sample"/>
    <w:basedOn w:val="a0"/>
    <w:uiPriority w:val="99"/>
    <w:semiHidden/>
    <w:unhideWhenUsed/>
    <w:rsid w:val="00406080"/>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611740173">
      <w:bodyDiv w:val="1"/>
      <w:marLeft w:val="0"/>
      <w:marRight w:val="0"/>
      <w:marTop w:val="0"/>
      <w:marBottom w:val="0"/>
      <w:divBdr>
        <w:top w:val="none" w:sz="0" w:space="0" w:color="auto"/>
        <w:left w:val="none" w:sz="0" w:space="0" w:color="auto"/>
        <w:bottom w:val="none" w:sz="0" w:space="0" w:color="auto"/>
        <w:right w:val="none" w:sz="0" w:space="0" w:color="auto"/>
      </w:divBdr>
      <w:divsChild>
        <w:div w:id="83572364">
          <w:marLeft w:val="0"/>
          <w:marRight w:val="0"/>
          <w:marTop w:val="0"/>
          <w:marBottom w:val="0"/>
          <w:divBdr>
            <w:top w:val="none" w:sz="0" w:space="0" w:color="auto"/>
            <w:left w:val="none" w:sz="0" w:space="0" w:color="auto"/>
            <w:bottom w:val="none" w:sz="0" w:space="0" w:color="auto"/>
            <w:right w:val="none" w:sz="0" w:space="0" w:color="auto"/>
          </w:divBdr>
          <w:divsChild>
            <w:div w:id="850340437">
              <w:marLeft w:val="0"/>
              <w:marRight w:val="0"/>
              <w:marTop w:val="0"/>
              <w:marBottom w:val="272"/>
              <w:divBdr>
                <w:top w:val="none" w:sz="0" w:space="0" w:color="auto"/>
                <w:left w:val="none" w:sz="0" w:space="0" w:color="auto"/>
                <w:bottom w:val="dotted" w:sz="6" w:space="7" w:color="999999"/>
                <w:right w:val="none" w:sz="0" w:space="0" w:color="auto"/>
              </w:divBdr>
              <w:divsChild>
                <w:div w:id="1721317668">
                  <w:marLeft w:val="136"/>
                  <w:marRight w:val="136"/>
                  <w:marTop w:val="136"/>
                  <w:marBottom w:val="136"/>
                  <w:divBdr>
                    <w:top w:val="none" w:sz="0" w:space="0" w:color="auto"/>
                    <w:left w:val="none" w:sz="0" w:space="0" w:color="auto"/>
                    <w:bottom w:val="none" w:sz="0" w:space="0" w:color="auto"/>
                    <w:right w:val="none" w:sz="0" w:space="0" w:color="auto"/>
                  </w:divBdr>
                </w:div>
                <w:div w:id="1092354672">
                  <w:marLeft w:val="136"/>
                  <w:marRight w:val="136"/>
                  <w:marTop w:val="136"/>
                  <w:marBottom w:val="136"/>
                  <w:divBdr>
                    <w:top w:val="none" w:sz="0" w:space="0" w:color="auto"/>
                    <w:left w:val="none" w:sz="0" w:space="0" w:color="auto"/>
                    <w:bottom w:val="none" w:sz="0" w:space="0" w:color="auto"/>
                    <w:right w:val="none" w:sz="0" w:space="0" w:color="auto"/>
                  </w:divBdr>
                </w:div>
                <w:div w:id="190536111">
                  <w:marLeft w:val="136"/>
                  <w:marRight w:val="136"/>
                  <w:marTop w:val="136"/>
                  <w:marBottom w:val="136"/>
                  <w:divBdr>
                    <w:top w:val="none" w:sz="0" w:space="0" w:color="auto"/>
                    <w:left w:val="none" w:sz="0" w:space="0" w:color="auto"/>
                    <w:bottom w:val="none" w:sz="0" w:space="0" w:color="auto"/>
                    <w:right w:val="none" w:sz="0" w:space="0" w:color="auto"/>
                  </w:divBdr>
                </w:div>
              </w:divsChild>
            </w:div>
          </w:divsChild>
        </w:div>
        <w:div w:id="1203715624">
          <w:marLeft w:val="0"/>
          <w:marRight w:val="0"/>
          <w:marTop w:val="0"/>
          <w:marBottom w:val="0"/>
          <w:divBdr>
            <w:top w:val="none" w:sz="0" w:space="0" w:color="auto"/>
            <w:left w:val="none" w:sz="0" w:space="0" w:color="auto"/>
            <w:bottom w:val="none" w:sz="0" w:space="0" w:color="auto"/>
            <w:right w:val="none" w:sz="0" w:space="0" w:color="auto"/>
          </w:divBdr>
          <w:divsChild>
            <w:div w:id="709257902">
              <w:marLeft w:val="0"/>
              <w:marRight w:val="0"/>
              <w:marTop w:val="0"/>
              <w:marBottom w:val="0"/>
              <w:divBdr>
                <w:top w:val="none" w:sz="0" w:space="0" w:color="auto"/>
                <w:left w:val="none" w:sz="0" w:space="0" w:color="auto"/>
                <w:bottom w:val="none" w:sz="0" w:space="0" w:color="auto"/>
                <w:right w:val="none" w:sz="0" w:space="0" w:color="auto"/>
              </w:divBdr>
              <w:divsChild>
                <w:div w:id="1903756843">
                  <w:marLeft w:val="0"/>
                  <w:marRight w:val="0"/>
                  <w:marTop w:val="0"/>
                  <w:marBottom w:val="0"/>
                  <w:divBdr>
                    <w:top w:val="none" w:sz="0" w:space="0" w:color="auto"/>
                    <w:left w:val="none" w:sz="0" w:space="0" w:color="auto"/>
                    <w:bottom w:val="none" w:sz="0" w:space="0" w:color="auto"/>
                    <w:right w:val="none" w:sz="0" w:space="0" w:color="auto"/>
                  </w:divBdr>
                  <w:divsChild>
                    <w:div w:id="211767158">
                      <w:marLeft w:val="0"/>
                      <w:marRight w:val="0"/>
                      <w:marTop w:val="0"/>
                      <w:marBottom w:val="0"/>
                      <w:divBdr>
                        <w:top w:val="none" w:sz="0" w:space="0" w:color="auto"/>
                        <w:left w:val="none" w:sz="0" w:space="0" w:color="auto"/>
                        <w:bottom w:val="none" w:sz="0" w:space="0" w:color="auto"/>
                        <w:right w:val="none" w:sz="0" w:space="0" w:color="auto"/>
                      </w:divBdr>
                      <w:divsChild>
                        <w:div w:id="653223853">
                          <w:marLeft w:val="0"/>
                          <w:marRight w:val="0"/>
                          <w:marTop w:val="0"/>
                          <w:marBottom w:val="0"/>
                          <w:divBdr>
                            <w:top w:val="none" w:sz="0" w:space="0" w:color="auto"/>
                            <w:left w:val="none" w:sz="0" w:space="0" w:color="auto"/>
                            <w:bottom w:val="none" w:sz="0" w:space="0" w:color="auto"/>
                            <w:right w:val="none" w:sz="0" w:space="0" w:color="auto"/>
                          </w:divBdr>
                        </w:div>
                        <w:div w:id="1965384844">
                          <w:marLeft w:val="0"/>
                          <w:marRight w:val="0"/>
                          <w:marTop w:val="0"/>
                          <w:marBottom w:val="0"/>
                          <w:divBdr>
                            <w:top w:val="none" w:sz="0" w:space="0" w:color="auto"/>
                            <w:left w:val="none" w:sz="0" w:space="0" w:color="auto"/>
                            <w:bottom w:val="none" w:sz="0" w:space="0" w:color="auto"/>
                            <w:right w:val="none" w:sz="0" w:space="0" w:color="auto"/>
                          </w:divBdr>
                        </w:div>
                        <w:div w:id="17244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75760">
      <w:bodyDiv w:val="1"/>
      <w:marLeft w:val="0"/>
      <w:marRight w:val="0"/>
      <w:marTop w:val="0"/>
      <w:marBottom w:val="0"/>
      <w:divBdr>
        <w:top w:val="none" w:sz="0" w:space="0" w:color="auto"/>
        <w:left w:val="none" w:sz="0" w:space="0" w:color="auto"/>
        <w:bottom w:val="none" w:sz="0" w:space="0" w:color="auto"/>
        <w:right w:val="none" w:sz="0" w:space="0" w:color="auto"/>
      </w:divBdr>
      <w:divsChild>
        <w:div w:id="200213718">
          <w:marLeft w:val="0"/>
          <w:marRight w:val="0"/>
          <w:marTop w:val="0"/>
          <w:marBottom w:val="0"/>
          <w:divBdr>
            <w:top w:val="none" w:sz="0" w:space="0" w:color="auto"/>
            <w:left w:val="none" w:sz="0" w:space="0" w:color="auto"/>
            <w:bottom w:val="none" w:sz="0" w:space="0" w:color="auto"/>
            <w:right w:val="none" w:sz="0" w:space="0" w:color="auto"/>
          </w:divBdr>
          <w:divsChild>
            <w:div w:id="694039359">
              <w:marLeft w:val="0"/>
              <w:marRight w:val="0"/>
              <w:marTop w:val="0"/>
              <w:marBottom w:val="272"/>
              <w:divBdr>
                <w:top w:val="none" w:sz="0" w:space="0" w:color="auto"/>
                <w:left w:val="none" w:sz="0" w:space="0" w:color="auto"/>
                <w:bottom w:val="dotted" w:sz="6" w:space="7" w:color="999999"/>
                <w:right w:val="none" w:sz="0" w:space="0" w:color="auto"/>
              </w:divBdr>
              <w:divsChild>
                <w:div w:id="2100632287">
                  <w:marLeft w:val="136"/>
                  <w:marRight w:val="136"/>
                  <w:marTop w:val="136"/>
                  <w:marBottom w:val="136"/>
                  <w:divBdr>
                    <w:top w:val="none" w:sz="0" w:space="0" w:color="auto"/>
                    <w:left w:val="none" w:sz="0" w:space="0" w:color="auto"/>
                    <w:bottom w:val="none" w:sz="0" w:space="0" w:color="auto"/>
                    <w:right w:val="none" w:sz="0" w:space="0" w:color="auto"/>
                  </w:divBdr>
                </w:div>
                <w:div w:id="1902715682">
                  <w:marLeft w:val="136"/>
                  <w:marRight w:val="136"/>
                  <w:marTop w:val="136"/>
                  <w:marBottom w:val="136"/>
                  <w:divBdr>
                    <w:top w:val="none" w:sz="0" w:space="0" w:color="auto"/>
                    <w:left w:val="none" w:sz="0" w:space="0" w:color="auto"/>
                    <w:bottom w:val="none" w:sz="0" w:space="0" w:color="auto"/>
                    <w:right w:val="none" w:sz="0" w:space="0" w:color="auto"/>
                  </w:divBdr>
                </w:div>
                <w:div w:id="1560704146">
                  <w:marLeft w:val="136"/>
                  <w:marRight w:val="136"/>
                  <w:marTop w:val="136"/>
                  <w:marBottom w:val="136"/>
                  <w:divBdr>
                    <w:top w:val="none" w:sz="0" w:space="0" w:color="auto"/>
                    <w:left w:val="none" w:sz="0" w:space="0" w:color="auto"/>
                    <w:bottom w:val="none" w:sz="0" w:space="0" w:color="auto"/>
                    <w:right w:val="none" w:sz="0" w:space="0" w:color="auto"/>
                  </w:divBdr>
                </w:div>
              </w:divsChild>
            </w:div>
          </w:divsChild>
        </w:div>
        <w:div w:id="972099754">
          <w:marLeft w:val="0"/>
          <w:marRight w:val="0"/>
          <w:marTop w:val="0"/>
          <w:marBottom w:val="0"/>
          <w:divBdr>
            <w:top w:val="none" w:sz="0" w:space="0" w:color="auto"/>
            <w:left w:val="none" w:sz="0" w:space="0" w:color="auto"/>
            <w:bottom w:val="none" w:sz="0" w:space="0" w:color="auto"/>
            <w:right w:val="none" w:sz="0" w:space="0" w:color="auto"/>
          </w:divBdr>
          <w:divsChild>
            <w:div w:id="1119834266">
              <w:marLeft w:val="0"/>
              <w:marRight w:val="0"/>
              <w:marTop w:val="0"/>
              <w:marBottom w:val="0"/>
              <w:divBdr>
                <w:top w:val="none" w:sz="0" w:space="0" w:color="auto"/>
                <w:left w:val="none" w:sz="0" w:space="0" w:color="auto"/>
                <w:bottom w:val="none" w:sz="0" w:space="0" w:color="auto"/>
                <w:right w:val="none" w:sz="0" w:space="0" w:color="auto"/>
              </w:divBdr>
              <w:divsChild>
                <w:div w:id="1133327719">
                  <w:marLeft w:val="0"/>
                  <w:marRight w:val="0"/>
                  <w:marTop w:val="0"/>
                  <w:marBottom w:val="0"/>
                  <w:divBdr>
                    <w:top w:val="none" w:sz="0" w:space="0" w:color="auto"/>
                    <w:left w:val="none" w:sz="0" w:space="0" w:color="auto"/>
                    <w:bottom w:val="none" w:sz="0" w:space="0" w:color="auto"/>
                    <w:right w:val="none" w:sz="0" w:space="0" w:color="auto"/>
                  </w:divBdr>
                  <w:divsChild>
                    <w:div w:id="1015107605">
                      <w:marLeft w:val="0"/>
                      <w:marRight w:val="0"/>
                      <w:marTop w:val="0"/>
                      <w:marBottom w:val="0"/>
                      <w:divBdr>
                        <w:top w:val="none" w:sz="0" w:space="0" w:color="auto"/>
                        <w:left w:val="none" w:sz="0" w:space="0" w:color="auto"/>
                        <w:bottom w:val="none" w:sz="0" w:space="0" w:color="auto"/>
                        <w:right w:val="none" w:sz="0" w:space="0" w:color="auto"/>
                      </w:divBdr>
                      <w:divsChild>
                        <w:div w:id="569117874">
                          <w:marLeft w:val="0"/>
                          <w:marRight w:val="0"/>
                          <w:marTop w:val="0"/>
                          <w:marBottom w:val="0"/>
                          <w:divBdr>
                            <w:top w:val="none" w:sz="0" w:space="0" w:color="auto"/>
                            <w:left w:val="none" w:sz="0" w:space="0" w:color="auto"/>
                            <w:bottom w:val="none" w:sz="0" w:space="0" w:color="auto"/>
                            <w:right w:val="none" w:sz="0" w:space="0" w:color="auto"/>
                          </w:divBdr>
                        </w:div>
                        <w:div w:id="209535883">
                          <w:marLeft w:val="0"/>
                          <w:marRight w:val="0"/>
                          <w:marTop w:val="0"/>
                          <w:marBottom w:val="0"/>
                          <w:divBdr>
                            <w:top w:val="none" w:sz="0" w:space="0" w:color="auto"/>
                            <w:left w:val="none" w:sz="0" w:space="0" w:color="auto"/>
                            <w:bottom w:val="none" w:sz="0" w:space="0" w:color="auto"/>
                            <w:right w:val="none" w:sz="0" w:space="0" w:color="auto"/>
                          </w:divBdr>
                        </w:div>
                        <w:div w:id="117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XMP</dc:creator>
  <cp:lastModifiedBy>XMP</cp:lastModifiedBy>
  <cp:revision>2</cp:revision>
  <dcterms:created xsi:type="dcterms:W3CDTF">2023-10-11T03:48:00Z</dcterms:created>
  <dcterms:modified xsi:type="dcterms:W3CDTF">2023-10-11T03:48:00Z</dcterms:modified>
</cp:coreProperties>
</file>